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93e4009a625c458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432" w:type="dxa"/>
        <w:tblBorders>
          <w:insideH w:val="single" w:sz="4" w:space="0" w:color="auto"/>
        </w:tblBorders>
        <w:tblLook w:val="01E0"/>
      </w:tblPr>
      <w:tblGrid>
        <w:gridCol w:w="5096"/>
        <w:gridCol w:w="4828"/>
      </w:tblGrid>
      <w:tr w:rsidR="00824489" w:rsidRPr="00F01182" w:rsidTr="00F01182">
        <w:trPr>
          <w:trHeight w:val="1976"/>
        </w:trPr>
        <w:tc>
          <w:tcPr>
            <w:tcW w:w="5096" w:type="dxa"/>
          </w:tcPr>
          <w:p w:rsidR="00824489" w:rsidRPr="00297EC4" w:rsidRDefault="00824489" w:rsidP="00297EC4">
            <w:pPr>
              <w:spacing w:after="0"/>
              <w:jc w:val="center"/>
              <w:rPr>
                <w:rFonts w:ascii="Times New Roman" w:hAnsi="Times New Roman"/>
                <w:lang w:val="nl-NL"/>
              </w:rPr>
            </w:pPr>
            <w:r w:rsidRPr="00297EC4">
              <w:rPr>
                <w:rFonts w:ascii="Times New Roman" w:hAnsi="Times New Roman"/>
                <w:lang w:val="nl-NL"/>
              </w:rPr>
              <w:t>TỔNG CÔNG TY VIGLACERA</w:t>
            </w:r>
          </w:p>
          <w:p w:rsidR="00824489" w:rsidRPr="00297EC4" w:rsidRDefault="00824489" w:rsidP="00297EC4">
            <w:pPr>
              <w:spacing w:after="0"/>
              <w:jc w:val="center"/>
              <w:rPr>
                <w:rFonts w:ascii="Times New Roman" w:hAnsi="Times New Roman"/>
                <w:b/>
                <w:lang w:val="nl-NL"/>
              </w:rPr>
            </w:pPr>
            <w:r w:rsidRPr="00297EC4">
              <w:rPr>
                <w:rFonts w:ascii="Times New Roman" w:hAnsi="Times New Roman"/>
                <w:b/>
                <w:lang w:val="nl-NL"/>
              </w:rPr>
              <w:t>CÔNG TY CP VIGLACERA TIÊN SƠN</w:t>
            </w:r>
          </w:p>
          <w:p w:rsidR="00824489" w:rsidRPr="00F01182" w:rsidRDefault="00824489" w:rsidP="00297EC4">
            <w:pPr>
              <w:tabs>
                <w:tab w:val="left" w:pos="1020"/>
              </w:tabs>
              <w:spacing w:after="0"/>
              <w:jc w:val="center"/>
              <w:rPr>
                <w:rFonts w:ascii="Times New Roman" w:hAnsi="Times New Roman"/>
                <w:i/>
                <w:lang w:val="nl-NL"/>
              </w:rPr>
            </w:pPr>
            <w:r w:rsidRPr="00F01182">
              <w:rPr>
                <w:rFonts w:ascii="Times New Roman" w:hAnsi="Times New Roman"/>
                <w:i/>
                <w:lang w:val="nl-NL"/>
              </w:rPr>
              <w:t>________________________</w:t>
            </w:r>
          </w:p>
          <w:p w:rsidR="00824489" w:rsidRPr="00F01182" w:rsidRDefault="00824489" w:rsidP="00297EC4">
            <w:pPr>
              <w:spacing w:after="0"/>
              <w:jc w:val="center"/>
              <w:rPr>
                <w:rFonts w:ascii="Times New Roman" w:hAnsi="Times New Roman"/>
                <w:i/>
                <w:lang w:val="nl-NL"/>
              </w:rPr>
            </w:pPr>
          </w:p>
          <w:p w:rsidR="00824489" w:rsidRPr="00F01182" w:rsidRDefault="00824489" w:rsidP="00297EC4">
            <w:pPr>
              <w:spacing w:after="0"/>
              <w:jc w:val="center"/>
              <w:rPr>
                <w:rFonts w:ascii=".VnTime" w:hAnsi=".VnTime"/>
                <w:b/>
                <w:i/>
                <w:sz w:val="19"/>
                <w:szCs w:val="19"/>
                <w:lang w:val="nl-NL"/>
              </w:rPr>
            </w:pPr>
            <w:r w:rsidRPr="00F01182">
              <w:rPr>
                <w:rFonts w:ascii="Times New Roman" w:hAnsi="Times New Roman"/>
                <w:i/>
                <w:lang w:val="nl-NL"/>
              </w:rPr>
              <w:t>Số:1523</w:t>
            </w:r>
            <w:r w:rsidRPr="00F01182">
              <w:rPr>
                <w:rFonts w:ascii="Times New Roman" w:hAnsi="Times New Roman"/>
                <w:b/>
                <w:lang w:val="nl-NL"/>
              </w:rPr>
              <w:t xml:space="preserve"> </w:t>
            </w:r>
            <w:r w:rsidRPr="00F01182">
              <w:rPr>
                <w:rFonts w:ascii="Times New Roman" w:hAnsi="Times New Roman"/>
                <w:i/>
                <w:lang w:val="nl-NL"/>
              </w:rPr>
              <w:t>/</w:t>
            </w:r>
            <w:r w:rsidRPr="00F01182">
              <w:rPr>
                <w:rFonts w:ascii="Times New Roman" w:hAnsi="Times New Roman"/>
                <w:lang w:val="nl-NL"/>
              </w:rPr>
              <w:t xml:space="preserve"> </w:t>
            </w:r>
            <w:r w:rsidRPr="00F01182">
              <w:rPr>
                <w:rFonts w:ascii="Times New Roman" w:hAnsi="Times New Roman"/>
                <w:b/>
                <w:sz w:val="20"/>
                <w:lang w:val="nl-NL"/>
              </w:rPr>
              <w:t>VIT - TCKT</w:t>
            </w:r>
          </w:p>
          <w:p w:rsidR="00824489" w:rsidRPr="00297EC4" w:rsidRDefault="00824489" w:rsidP="00297EC4">
            <w:pPr>
              <w:spacing w:after="0"/>
              <w:jc w:val="center"/>
              <w:rPr>
                <w:rFonts w:ascii=".VnTime" w:hAnsi=".VnTime"/>
                <w:lang w:val="nl-NL"/>
              </w:rPr>
            </w:pPr>
            <w:r w:rsidRPr="00297EC4">
              <w:rPr>
                <w:rFonts w:ascii=".VnTime" w:hAnsi=".VnTime"/>
                <w:lang w:val="nl-NL"/>
              </w:rPr>
              <w:t>"V/v: Gi¶i tr×nh kÕt qu¶ s¶n xuÊt kinh doanh</w:t>
            </w:r>
          </w:p>
          <w:p w:rsidR="00824489" w:rsidRPr="00F01182" w:rsidRDefault="00824489" w:rsidP="00297EC4">
            <w:pPr>
              <w:spacing w:after="0"/>
              <w:jc w:val="center"/>
              <w:rPr>
                <w:rFonts w:ascii=".VnTime" w:hAnsi=".VnTime"/>
                <w:b/>
                <w:i/>
                <w:lang w:val="nl-NL"/>
              </w:rPr>
            </w:pPr>
            <w:r w:rsidRPr="00297EC4">
              <w:rPr>
                <w:rFonts w:ascii=".VnTime" w:hAnsi=".VnTime"/>
                <w:lang w:val="nl-NL"/>
              </w:rPr>
              <w:t>Quý 2/2012 "</w:t>
            </w:r>
          </w:p>
        </w:tc>
        <w:tc>
          <w:tcPr>
            <w:tcW w:w="4828" w:type="dxa"/>
          </w:tcPr>
          <w:p w:rsidR="00824489" w:rsidRPr="00297EC4" w:rsidRDefault="00824489" w:rsidP="00297EC4">
            <w:pPr>
              <w:spacing w:after="0"/>
              <w:jc w:val="center"/>
              <w:rPr>
                <w:rFonts w:ascii="Times New Roman" w:hAnsi="Times New Roman"/>
                <w:b/>
                <w:lang w:val="nl-NL"/>
              </w:rPr>
            </w:pPr>
            <w:r w:rsidRPr="00297EC4">
              <w:rPr>
                <w:rFonts w:ascii="Times New Roman" w:hAnsi="Times New Roman"/>
                <w:b/>
                <w:lang w:val="nl-NL"/>
              </w:rPr>
              <w:t>CỘNG HOÀ XÃ HỘI CHỦ NGHĨA VIỆT NAM</w:t>
            </w:r>
          </w:p>
          <w:p w:rsidR="00824489" w:rsidRPr="00297EC4" w:rsidRDefault="00824489" w:rsidP="00297EC4">
            <w:pPr>
              <w:spacing w:after="0"/>
              <w:jc w:val="center"/>
              <w:rPr>
                <w:rFonts w:ascii="Times New Roman" w:hAnsi="Times New Roman"/>
                <w:b/>
                <w:lang w:val="nl-NL"/>
              </w:rPr>
            </w:pPr>
            <w:r w:rsidRPr="00297EC4">
              <w:rPr>
                <w:rFonts w:ascii="Times New Roman" w:hAnsi="Times New Roman"/>
                <w:b/>
                <w:lang w:val="nl-NL"/>
              </w:rPr>
              <w:t>Độc lập - Tự do - Hạnh Phúc</w:t>
            </w:r>
          </w:p>
          <w:p w:rsidR="00824489" w:rsidRPr="00F01182" w:rsidRDefault="00824489" w:rsidP="00297EC4">
            <w:pPr>
              <w:spacing w:after="0"/>
              <w:jc w:val="center"/>
              <w:rPr>
                <w:rFonts w:ascii="Times New Roman" w:hAnsi="Times New Roman"/>
                <w:lang w:val="nl-NL"/>
              </w:rPr>
            </w:pPr>
            <w:r w:rsidRPr="00F01182">
              <w:rPr>
                <w:rFonts w:ascii="Times New Roman" w:hAnsi="Times New Roman"/>
                <w:lang w:val="nl-NL"/>
              </w:rPr>
              <w:t>____________________</w:t>
            </w:r>
          </w:p>
          <w:p w:rsidR="00824489" w:rsidRPr="00F01182" w:rsidRDefault="00824489" w:rsidP="00297EC4">
            <w:pPr>
              <w:spacing w:after="0"/>
              <w:ind w:left="360"/>
              <w:jc w:val="right"/>
              <w:rPr>
                <w:rFonts w:ascii="Times New Roman" w:hAnsi="Times New Roman"/>
                <w:b/>
                <w:i/>
                <w:lang w:val="nl-NL"/>
              </w:rPr>
            </w:pPr>
            <w:r w:rsidRPr="00F01182">
              <w:rPr>
                <w:rFonts w:ascii="Times New Roman" w:hAnsi="Times New Roman"/>
                <w:lang w:val="nl-NL"/>
              </w:rPr>
              <w:t xml:space="preserve">   </w:t>
            </w:r>
            <w:r w:rsidRPr="00F01182">
              <w:rPr>
                <w:rFonts w:ascii="Times New Roman" w:hAnsi="Times New Roman"/>
                <w:b/>
                <w:i/>
                <w:lang w:val="nl-NL"/>
              </w:rPr>
              <w:t xml:space="preserve">                                         </w:t>
            </w:r>
          </w:p>
          <w:p w:rsidR="00824489" w:rsidRPr="00F01182" w:rsidRDefault="00824489" w:rsidP="00297EC4">
            <w:pPr>
              <w:spacing w:after="0"/>
              <w:ind w:left="360"/>
              <w:jc w:val="right"/>
              <w:rPr>
                <w:rFonts w:ascii="Times New Roman" w:hAnsi="Times New Roman"/>
                <w:b/>
                <w:i/>
                <w:sz w:val="12"/>
                <w:lang w:val="nl-NL"/>
              </w:rPr>
            </w:pPr>
          </w:p>
          <w:p w:rsidR="00824489" w:rsidRPr="00297EC4" w:rsidRDefault="00824489" w:rsidP="00297EC4">
            <w:pPr>
              <w:spacing w:after="0"/>
              <w:ind w:left="360"/>
              <w:jc w:val="right"/>
              <w:rPr>
                <w:rFonts w:ascii=".VnTime" w:hAnsi=".VnTime"/>
                <w:i/>
                <w:lang w:val="nl-NL"/>
              </w:rPr>
            </w:pPr>
            <w:r w:rsidRPr="00297EC4">
              <w:rPr>
                <w:rFonts w:ascii=".VnTime" w:hAnsi=".VnTime"/>
                <w:i/>
                <w:lang w:val="nl-NL"/>
              </w:rPr>
              <w:t>B¾c Ninh, ngµy 23 th¸ng 7 n¨m 2012</w:t>
            </w:r>
          </w:p>
        </w:tc>
      </w:tr>
    </w:tbl>
    <w:p w:rsidR="00824489" w:rsidRPr="004F525C" w:rsidRDefault="00824489" w:rsidP="00824489">
      <w:pPr>
        <w:spacing w:line="360" w:lineRule="auto"/>
        <w:jc w:val="center"/>
        <w:rPr>
          <w:rFonts w:ascii="Times New Roman" w:hAnsi="Times New Roman"/>
          <w:sz w:val="2"/>
          <w:szCs w:val="32"/>
          <w:u w:val="single"/>
          <w:lang w:val="nl-NL"/>
        </w:rPr>
      </w:pPr>
    </w:p>
    <w:p w:rsidR="00824489" w:rsidRPr="00297EC4" w:rsidRDefault="00824489" w:rsidP="00011326">
      <w:pPr>
        <w:spacing w:before="240" w:after="0" w:line="240" w:lineRule="auto"/>
        <w:jc w:val="center"/>
        <w:rPr>
          <w:rFonts w:ascii="Times New Roman" w:hAnsi="Times New Roman"/>
          <w:sz w:val="28"/>
          <w:szCs w:val="28"/>
          <w:lang w:val="nl-NL"/>
        </w:rPr>
      </w:pPr>
      <w:r w:rsidRPr="00297EC4">
        <w:rPr>
          <w:rFonts w:ascii="Times New Roman" w:hAnsi="Times New Roman"/>
          <w:sz w:val="28"/>
          <w:szCs w:val="28"/>
          <w:lang w:val="nl-NL"/>
        </w:rPr>
        <w:t>Kính gửi:  Uỷ ban Chứng khoán Nhà n</w:t>
      </w:r>
      <w:r w:rsidRPr="00297EC4">
        <w:rPr>
          <w:rFonts w:ascii="Times New Roman" w:hAnsi="Times New Roman" w:hint="eastAsia"/>
          <w:sz w:val="28"/>
          <w:szCs w:val="28"/>
          <w:lang w:val="nl-NL"/>
        </w:rPr>
        <w:t>ư</w:t>
      </w:r>
      <w:r w:rsidRPr="00297EC4">
        <w:rPr>
          <w:rFonts w:ascii="Times New Roman" w:hAnsi="Times New Roman"/>
          <w:sz w:val="28"/>
          <w:szCs w:val="28"/>
          <w:lang w:val="nl-NL"/>
        </w:rPr>
        <w:t>ớc;</w:t>
      </w:r>
    </w:p>
    <w:p w:rsidR="00824489" w:rsidRPr="00297EC4" w:rsidRDefault="00824489" w:rsidP="00011326">
      <w:pPr>
        <w:spacing w:after="240" w:line="240" w:lineRule="auto"/>
        <w:jc w:val="center"/>
        <w:rPr>
          <w:rFonts w:ascii="Times New Roman" w:hAnsi="Times New Roman"/>
          <w:sz w:val="28"/>
          <w:szCs w:val="28"/>
          <w:lang w:val="nl-NL"/>
        </w:rPr>
      </w:pPr>
      <w:r w:rsidRPr="00297EC4">
        <w:rPr>
          <w:rFonts w:ascii="Times New Roman" w:hAnsi="Times New Roman"/>
          <w:sz w:val="28"/>
          <w:szCs w:val="28"/>
          <w:lang w:val="nl-NL"/>
        </w:rPr>
        <w:t xml:space="preserve">                       Sở Giao dịch Chứng khoán Hà Nội.</w:t>
      </w:r>
    </w:p>
    <w:p w:rsidR="00824489" w:rsidRPr="004F525C" w:rsidRDefault="00824489" w:rsidP="00011326">
      <w:pPr>
        <w:spacing w:after="0" w:line="240" w:lineRule="auto"/>
        <w:jc w:val="center"/>
        <w:rPr>
          <w:rFonts w:ascii="Times New Roman" w:hAnsi="Times New Roman"/>
          <w:b/>
          <w:sz w:val="6"/>
          <w:szCs w:val="28"/>
          <w:lang w:val="nl-NL"/>
        </w:rPr>
      </w:pPr>
    </w:p>
    <w:p w:rsidR="00824489" w:rsidRPr="004F525C" w:rsidRDefault="00824489" w:rsidP="00011326">
      <w:pPr>
        <w:spacing w:after="0" w:line="240" w:lineRule="auto"/>
        <w:jc w:val="both"/>
        <w:rPr>
          <w:rFonts w:ascii="Times New Roman" w:hAnsi="Times New Roman"/>
          <w:b/>
          <w:sz w:val="2"/>
          <w:lang w:val="nl-NL"/>
        </w:rPr>
      </w:pPr>
    </w:p>
    <w:p w:rsidR="00824489" w:rsidRPr="00297EC4" w:rsidRDefault="00824489" w:rsidP="00011326">
      <w:pPr>
        <w:numPr>
          <w:ilvl w:val="0"/>
          <w:numId w:val="1"/>
        </w:numPr>
        <w:spacing w:after="0" w:line="240" w:lineRule="auto"/>
        <w:jc w:val="both"/>
        <w:rPr>
          <w:rFonts w:ascii="Times New Roman" w:hAnsi="Times New Roman"/>
          <w:color w:val="000000"/>
          <w:sz w:val="28"/>
          <w:szCs w:val="28"/>
          <w:lang w:val="nl-NL"/>
        </w:rPr>
      </w:pPr>
      <w:r w:rsidRPr="00297EC4">
        <w:rPr>
          <w:rFonts w:ascii="Times New Roman" w:hAnsi="Times New Roman"/>
          <w:color w:val="000000"/>
          <w:sz w:val="28"/>
          <w:lang w:val="nl-NL"/>
        </w:rPr>
        <w:t>Tên</w:t>
      </w:r>
      <w:r w:rsidRPr="00297EC4">
        <w:rPr>
          <w:rFonts w:ascii="Times New Roman" w:hAnsi="Times New Roman"/>
          <w:color w:val="000000"/>
          <w:lang w:val="nl-NL"/>
        </w:rPr>
        <w:t xml:space="preserve"> </w:t>
      </w:r>
      <w:r w:rsidRPr="00297EC4">
        <w:rPr>
          <w:rFonts w:ascii="Times New Roman" w:hAnsi="Times New Roman"/>
          <w:color w:val="000000"/>
          <w:sz w:val="28"/>
          <w:lang w:val="nl-NL"/>
        </w:rPr>
        <w:t>Công ty</w:t>
      </w:r>
      <w:r w:rsidRPr="00297EC4">
        <w:rPr>
          <w:rFonts w:ascii="Times New Roman" w:hAnsi="Times New Roman"/>
          <w:color w:val="000000"/>
          <w:lang w:val="nl-NL"/>
        </w:rPr>
        <w:t xml:space="preserve">: </w:t>
      </w:r>
      <w:r w:rsidRPr="00297EC4">
        <w:rPr>
          <w:rFonts w:ascii="Times New Roman" w:hAnsi="Times New Roman"/>
          <w:color w:val="000000"/>
          <w:sz w:val="28"/>
          <w:szCs w:val="28"/>
          <w:lang w:val="nl-NL"/>
        </w:rPr>
        <w:t>Công ty Cổ phần Viglacera Tiên Sơn</w:t>
      </w:r>
    </w:p>
    <w:p w:rsidR="00824489" w:rsidRPr="00297EC4" w:rsidRDefault="00824489" w:rsidP="00011326">
      <w:pPr>
        <w:numPr>
          <w:ilvl w:val="0"/>
          <w:numId w:val="1"/>
        </w:numPr>
        <w:spacing w:after="0" w:line="240" w:lineRule="auto"/>
        <w:jc w:val="both"/>
        <w:rPr>
          <w:rFonts w:ascii="Times New Roman" w:hAnsi="Times New Roman"/>
          <w:color w:val="000000"/>
          <w:sz w:val="28"/>
          <w:szCs w:val="28"/>
          <w:lang w:val="nl-NL"/>
        </w:rPr>
      </w:pPr>
      <w:r w:rsidRPr="00297EC4">
        <w:rPr>
          <w:rFonts w:ascii="Times New Roman" w:hAnsi="Times New Roman"/>
          <w:color w:val="000000"/>
          <w:sz w:val="28"/>
          <w:szCs w:val="28"/>
          <w:lang w:val="nl-NL"/>
        </w:rPr>
        <w:t>Mã chứng khoán: VIT</w:t>
      </w:r>
    </w:p>
    <w:p w:rsidR="00824489" w:rsidRPr="00297EC4" w:rsidRDefault="00824489" w:rsidP="00011326">
      <w:pPr>
        <w:numPr>
          <w:ilvl w:val="0"/>
          <w:numId w:val="1"/>
        </w:numPr>
        <w:spacing w:after="0" w:line="240" w:lineRule="auto"/>
        <w:jc w:val="both"/>
        <w:rPr>
          <w:rFonts w:ascii="Times New Roman" w:hAnsi="Times New Roman"/>
          <w:color w:val="000000"/>
          <w:sz w:val="28"/>
          <w:szCs w:val="28"/>
          <w:lang w:val="nl-NL"/>
        </w:rPr>
      </w:pPr>
      <w:r w:rsidRPr="00297EC4">
        <w:rPr>
          <w:rFonts w:ascii="Times New Roman" w:hAnsi="Times New Roman"/>
          <w:color w:val="000000"/>
          <w:sz w:val="28"/>
          <w:szCs w:val="28"/>
          <w:lang w:val="nl-NL"/>
        </w:rPr>
        <w:t>Địa chỉ trụ sở chính: Khu công nghiệp Tiên S</w:t>
      </w:r>
      <w:r w:rsidRPr="00297EC4">
        <w:rPr>
          <w:rFonts w:ascii="Times New Roman" w:hAnsi="Times New Roman" w:hint="eastAsia"/>
          <w:color w:val="000000"/>
          <w:sz w:val="28"/>
          <w:szCs w:val="28"/>
          <w:lang w:val="nl-NL"/>
        </w:rPr>
        <w:t>ơ</w:t>
      </w:r>
      <w:r w:rsidRPr="00297EC4">
        <w:rPr>
          <w:rFonts w:ascii="Times New Roman" w:hAnsi="Times New Roman"/>
          <w:color w:val="000000"/>
          <w:sz w:val="28"/>
          <w:szCs w:val="28"/>
          <w:lang w:val="nl-NL"/>
        </w:rPr>
        <w:t>n – Tiên Du - Bắc Ninh.</w:t>
      </w:r>
    </w:p>
    <w:p w:rsidR="00824489" w:rsidRPr="00297EC4" w:rsidRDefault="00824489" w:rsidP="00011326">
      <w:pPr>
        <w:numPr>
          <w:ilvl w:val="0"/>
          <w:numId w:val="1"/>
        </w:numPr>
        <w:spacing w:after="0" w:line="240" w:lineRule="auto"/>
        <w:jc w:val="both"/>
        <w:rPr>
          <w:rFonts w:ascii="Times New Roman" w:hAnsi="Times New Roman"/>
          <w:color w:val="000000"/>
          <w:sz w:val="28"/>
          <w:szCs w:val="28"/>
          <w:lang w:val="nl-NL"/>
        </w:rPr>
      </w:pPr>
      <w:r w:rsidRPr="00297EC4">
        <w:rPr>
          <w:rFonts w:ascii="Times New Roman" w:hAnsi="Times New Roman"/>
          <w:color w:val="000000"/>
          <w:sz w:val="28"/>
          <w:szCs w:val="28"/>
          <w:lang w:val="nl-NL"/>
        </w:rPr>
        <w:t>Điện thoại: 02413.839.395</w:t>
      </w:r>
      <w:r w:rsidRPr="00297EC4">
        <w:rPr>
          <w:rFonts w:ascii="Times New Roman" w:hAnsi="Times New Roman"/>
          <w:color w:val="000000"/>
          <w:sz w:val="28"/>
          <w:szCs w:val="28"/>
          <w:lang w:val="nl-NL"/>
        </w:rPr>
        <w:tab/>
      </w:r>
      <w:r w:rsidRPr="00297EC4">
        <w:rPr>
          <w:rFonts w:ascii="Times New Roman" w:hAnsi="Times New Roman"/>
          <w:color w:val="000000"/>
          <w:sz w:val="28"/>
          <w:szCs w:val="28"/>
          <w:lang w:val="nl-NL"/>
        </w:rPr>
        <w:tab/>
      </w:r>
      <w:r w:rsidRPr="00297EC4">
        <w:rPr>
          <w:rFonts w:ascii="Times New Roman" w:hAnsi="Times New Roman"/>
          <w:color w:val="000000"/>
          <w:sz w:val="28"/>
          <w:szCs w:val="28"/>
          <w:lang w:val="nl-NL"/>
        </w:rPr>
        <w:tab/>
        <w:t>Fax: 02413.838.917</w:t>
      </w:r>
    </w:p>
    <w:p w:rsidR="00047F1F" w:rsidRPr="00047F1F" w:rsidRDefault="00824489" w:rsidP="00047F1F">
      <w:pPr>
        <w:numPr>
          <w:ilvl w:val="0"/>
          <w:numId w:val="1"/>
        </w:numPr>
        <w:spacing w:after="0" w:line="240" w:lineRule="auto"/>
        <w:jc w:val="both"/>
        <w:rPr>
          <w:rFonts w:ascii="Times New Roman" w:hAnsi="Times New Roman"/>
          <w:color w:val="000000"/>
          <w:sz w:val="28"/>
          <w:szCs w:val="28"/>
          <w:lang w:val="nl-NL"/>
        </w:rPr>
      </w:pPr>
      <w:r w:rsidRPr="00297EC4">
        <w:rPr>
          <w:rFonts w:ascii="Times New Roman" w:hAnsi="Times New Roman"/>
          <w:color w:val="000000"/>
          <w:sz w:val="28"/>
          <w:szCs w:val="28"/>
          <w:lang w:val="nl-NL"/>
        </w:rPr>
        <w:t>Ng</w:t>
      </w:r>
      <w:r w:rsidRPr="00297EC4">
        <w:rPr>
          <w:rFonts w:ascii="Times New Roman" w:hAnsi="Times New Roman" w:hint="eastAsia"/>
          <w:color w:val="000000"/>
          <w:sz w:val="28"/>
          <w:szCs w:val="28"/>
          <w:lang w:val="nl-NL"/>
        </w:rPr>
        <w:t>ư</w:t>
      </w:r>
      <w:r w:rsidRPr="00297EC4">
        <w:rPr>
          <w:rFonts w:ascii="Times New Roman" w:hAnsi="Times New Roman"/>
          <w:color w:val="000000"/>
          <w:sz w:val="28"/>
          <w:szCs w:val="28"/>
          <w:lang w:val="nl-NL"/>
        </w:rPr>
        <w:t>ời thực hiện công bố thông tin: Ông Quách Hữu Thuận - Người đại di</w:t>
      </w:r>
      <w:r w:rsidRPr="00297EC4">
        <w:rPr>
          <w:rFonts w:ascii="Times New Roman" w:hAnsi="Times New Roman"/>
          <w:sz w:val="28"/>
          <w:szCs w:val="28"/>
        </w:rPr>
        <w:t>ện theo Pháp luật.</w:t>
      </w:r>
    </w:p>
    <w:p w:rsidR="00824489" w:rsidRPr="00297EC4" w:rsidRDefault="00824489" w:rsidP="00011326">
      <w:pPr>
        <w:numPr>
          <w:ilvl w:val="0"/>
          <w:numId w:val="1"/>
        </w:numPr>
        <w:spacing w:after="0" w:line="240" w:lineRule="auto"/>
        <w:jc w:val="both"/>
        <w:rPr>
          <w:rFonts w:ascii="Times New Roman" w:hAnsi="Times New Roman"/>
          <w:color w:val="000000"/>
          <w:sz w:val="28"/>
          <w:szCs w:val="28"/>
          <w:lang w:val="nl-NL"/>
        </w:rPr>
      </w:pPr>
      <w:r w:rsidRPr="00297EC4">
        <w:rPr>
          <w:rFonts w:ascii="Times New Roman" w:hAnsi="Times New Roman"/>
          <w:color w:val="000000"/>
          <w:sz w:val="28"/>
          <w:szCs w:val="28"/>
          <w:lang w:val="nl-NL"/>
        </w:rPr>
        <w:t>Nội dung của thông tin công bố:</w:t>
      </w:r>
    </w:p>
    <w:p w:rsidR="00824489" w:rsidRPr="00297EC4" w:rsidRDefault="00824489" w:rsidP="00011326">
      <w:pPr>
        <w:spacing w:after="0" w:line="240" w:lineRule="auto"/>
        <w:ind w:left="68" w:firstLine="646"/>
        <w:jc w:val="both"/>
        <w:rPr>
          <w:rFonts w:ascii="Times New Roman" w:hAnsi="Times New Roman"/>
          <w:color w:val="000000"/>
          <w:sz w:val="28"/>
          <w:szCs w:val="28"/>
          <w:lang w:val="nl-NL"/>
        </w:rPr>
      </w:pPr>
      <w:r w:rsidRPr="00297EC4">
        <w:rPr>
          <w:rFonts w:ascii="Times New Roman" w:hAnsi="Times New Roman"/>
          <w:color w:val="000000"/>
          <w:sz w:val="28"/>
          <w:szCs w:val="28"/>
          <w:lang w:val="nl-NL"/>
        </w:rPr>
        <w:t>6.1 Báo cáo tài chính Quý 2/2012 của Công ty Cổ phần Viglacera Tiên S</w:t>
      </w:r>
      <w:r w:rsidRPr="00297EC4">
        <w:rPr>
          <w:rFonts w:ascii="Times New Roman" w:hAnsi="Times New Roman" w:hint="eastAsia"/>
          <w:color w:val="000000"/>
          <w:sz w:val="28"/>
          <w:szCs w:val="28"/>
          <w:lang w:val="nl-NL"/>
        </w:rPr>
        <w:t>ơ</w:t>
      </w:r>
      <w:r w:rsidRPr="00297EC4">
        <w:rPr>
          <w:rFonts w:ascii="Times New Roman" w:hAnsi="Times New Roman"/>
          <w:color w:val="000000"/>
          <w:sz w:val="28"/>
          <w:szCs w:val="28"/>
          <w:lang w:val="nl-NL"/>
        </w:rPr>
        <w:t>n đ</w:t>
      </w:r>
      <w:r w:rsidRPr="00297EC4">
        <w:rPr>
          <w:rFonts w:ascii="Times New Roman" w:hAnsi="Times New Roman" w:hint="eastAsia"/>
          <w:color w:val="000000"/>
          <w:sz w:val="28"/>
          <w:szCs w:val="28"/>
          <w:lang w:val="nl-NL"/>
        </w:rPr>
        <w:t>ư</w:t>
      </w:r>
      <w:r w:rsidRPr="00297EC4">
        <w:rPr>
          <w:rFonts w:ascii="Times New Roman" w:hAnsi="Times New Roman"/>
          <w:color w:val="000000"/>
          <w:sz w:val="28"/>
          <w:szCs w:val="28"/>
          <w:lang w:val="nl-NL"/>
        </w:rPr>
        <w:t>ợc lập ngày 20 tháng 07 năm 2012 bao gồm: Bảng cân đối kế toán; Báo cáo kết quả kinh doanh, Báo cáo l</w:t>
      </w:r>
      <w:r w:rsidRPr="00297EC4">
        <w:rPr>
          <w:rFonts w:ascii="Times New Roman" w:hAnsi="Times New Roman" w:hint="eastAsia"/>
          <w:color w:val="000000"/>
          <w:sz w:val="28"/>
          <w:szCs w:val="28"/>
          <w:lang w:val="nl-NL"/>
        </w:rPr>
        <w:t>ư</w:t>
      </w:r>
      <w:r w:rsidRPr="00297EC4">
        <w:rPr>
          <w:rFonts w:ascii="Times New Roman" w:hAnsi="Times New Roman"/>
          <w:color w:val="000000"/>
          <w:sz w:val="28"/>
          <w:szCs w:val="28"/>
          <w:lang w:val="nl-NL"/>
        </w:rPr>
        <w:t>u chuyển tiền tệ, Thuyết minh báo cáo tài chính.</w:t>
      </w:r>
    </w:p>
    <w:p w:rsidR="00824489" w:rsidRPr="00297EC4" w:rsidRDefault="00824489" w:rsidP="00011326">
      <w:pPr>
        <w:spacing w:after="0" w:line="240" w:lineRule="auto"/>
        <w:ind w:left="-34" w:firstLine="748"/>
        <w:jc w:val="both"/>
        <w:rPr>
          <w:rFonts w:ascii="Times New Roman" w:hAnsi="Times New Roman"/>
          <w:color w:val="000000"/>
          <w:sz w:val="28"/>
          <w:szCs w:val="28"/>
          <w:lang w:val="nl-NL"/>
        </w:rPr>
      </w:pPr>
      <w:r w:rsidRPr="00297EC4">
        <w:rPr>
          <w:rFonts w:ascii="Times New Roman" w:hAnsi="Times New Roman"/>
          <w:color w:val="000000"/>
          <w:sz w:val="28"/>
          <w:szCs w:val="28"/>
          <w:lang w:val="nl-NL"/>
        </w:rPr>
        <w:t>6.2 Nội dung giải trình:  Kết quả sản xuất kinh doanh của Công ty Cổ phần Viglacera Tiên Sơn Quý 2/2012 giảm h</w:t>
      </w:r>
      <w:r w:rsidRPr="00297EC4">
        <w:rPr>
          <w:rFonts w:ascii="Times New Roman" w:hAnsi="Times New Roman" w:hint="eastAsia"/>
          <w:color w:val="000000"/>
          <w:sz w:val="28"/>
          <w:szCs w:val="28"/>
          <w:lang w:val="nl-NL"/>
        </w:rPr>
        <w:t>ơ</w:t>
      </w:r>
      <w:r w:rsidRPr="00297EC4">
        <w:rPr>
          <w:rFonts w:ascii="Times New Roman" w:hAnsi="Times New Roman"/>
          <w:color w:val="000000"/>
          <w:sz w:val="28"/>
          <w:szCs w:val="28"/>
          <w:lang w:val="nl-NL"/>
        </w:rPr>
        <w:t>n 10% so với cùng kỳ năm trước, theo quy định tại thông tư số 52/2012/TT-BTC của Bộ Tài Chính ban hành ngày 05/4/2012 Công ty xin được giải trình như sau:</w:t>
      </w:r>
    </w:p>
    <w:p w:rsidR="00824489" w:rsidRPr="00297EC4" w:rsidRDefault="00824489" w:rsidP="00011326">
      <w:pPr>
        <w:spacing w:after="0" w:line="240" w:lineRule="auto"/>
        <w:ind w:firstLine="720"/>
        <w:jc w:val="both"/>
        <w:rPr>
          <w:rFonts w:ascii="Times New Roman" w:hAnsi="Times New Roman"/>
          <w:color w:val="000000"/>
          <w:sz w:val="28"/>
          <w:szCs w:val="28"/>
          <w:lang w:val="nl-NL"/>
        </w:rPr>
      </w:pPr>
      <w:r w:rsidRPr="00297EC4">
        <w:rPr>
          <w:rFonts w:ascii="Times New Roman" w:hAnsi="Times New Roman"/>
          <w:color w:val="000000"/>
          <w:sz w:val="28"/>
          <w:szCs w:val="28"/>
          <w:lang w:val="nl-NL"/>
        </w:rPr>
        <w:t>Lợi nhuận trước thuế Quý 2/2012 :  -3.534.433.363 đồng</w:t>
      </w:r>
    </w:p>
    <w:p w:rsidR="00824489" w:rsidRPr="00297EC4" w:rsidRDefault="00824489" w:rsidP="00011326">
      <w:pPr>
        <w:spacing w:after="0" w:line="240" w:lineRule="auto"/>
        <w:ind w:firstLine="720"/>
        <w:jc w:val="both"/>
        <w:rPr>
          <w:rFonts w:ascii="Times New Roman" w:hAnsi="Times New Roman"/>
          <w:color w:val="000000"/>
          <w:sz w:val="28"/>
          <w:szCs w:val="28"/>
          <w:lang w:val="nl-NL"/>
        </w:rPr>
      </w:pPr>
      <w:r w:rsidRPr="00297EC4">
        <w:rPr>
          <w:rFonts w:ascii="Times New Roman" w:hAnsi="Times New Roman"/>
          <w:color w:val="000000"/>
          <w:sz w:val="28"/>
          <w:szCs w:val="28"/>
          <w:lang w:val="nl-NL"/>
        </w:rPr>
        <w:t>Lợi nhuận trước thuế Quý 2/2011:    2.733.857.286 đồng</w:t>
      </w:r>
    </w:p>
    <w:p w:rsidR="00824489" w:rsidRPr="00297EC4" w:rsidRDefault="00824489" w:rsidP="00011326">
      <w:pPr>
        <w:spacing w:after="0" w:line="240" w:lineRule="auto"/>
        <w:ind w:firstLine="720"/>
        <w:jc w:val="both"/>
        <w:rPr>
          <w:rFonts w:ascii="Times New Roman" w:hAnsi="Times New Roman"/>
          <w:color w:val="000000"/>
          <w:sz w:val="28"/>
          <w:szCs w:val="28"/>
          <w:lang w:val="nl-NL"/>
        </w:rPr>
      </w:pPr>
      <w:r w:rsidRPr="00297EC4">
        <w:rPr>
          <w:rFonts w:ascii="Times New Roman" w:hAnsi="Times New Roman"/>
          <w:color w:val="000000"/>
          <w:sz w:val="28"/>
          <w:szCs w:val="28"/>
          <w:lang w:val="nl-NL"/>
        </w:rPr>
        <w:t>Lợi nhuận Quý 2/2012 giảm hơn 10% so với cùng kỳ năm trước do những nguyên nhân sau:</w:t>
      </w:r>
    </w:p>
    <w:p w:rsidR="00824489" w:rsidRPr="00297EC4" w:rsidRDefault="00824489" w:rsidP="00011326">
      <w:pPr>
        <w:spacing w:after="0" w:line="240" w:lineRule="auto"/>
        <w:ind w:firstLine="720"/>
        <w:jc w:val="both"/>
        <w:rPr>
          <w:rFonts w:ascii="Times New Roman" w:hAnsi="Times New Roman"/>
          <w:color w:val="000000"/>
          <w:sz w:val="28"/>
          <w:szCs w:val="28"/>
          <w:lang w:val="nl-NL"/>
        </w:rPr>
      </w:pPr>
      <w:r w:rsidRPr="00297EC4">
        <w:rPr>
          <w:rFonts w:ascii="Times New Roman" w:hAnsi="Times New Roman"/>
          <w:color w:val="000000"/>
          <w:sz w:val="28"/>
          <w:szCs w:val="28"/>
          <w:lang w:val="nl-NL"/>
        </w:rPr>
        <w:t>Thị tr</w:t>
      </w:r>
      <w:r w:rsidRPr="00297EC4">
        <w:rPr>
          <w:rFonts w:ascii="Times New Roman" w:hAnsi="Times New Roman" w:hint="eastAsia"/>
          <w:color w:val="000000"/>
          <w:sz w:val="28"/>
          <w:szCs w:val="28"/>
          <w:lang w:val="nl-NL"/>
        </w:rPr>
        <w:t>ư</w:t>
      </w:r>
      <w:r w:rsidRPr="00297EC4">
        <w:rPr>
          <w:rFonts w:ascii="Times New Roman" w:hAnsi="Times New Roman"/>
          <w:color w:val="000000"/>
          <w:sz w:val="28"/>
          <w:szCs w:val="28"/>
          <w:lang w:val="nl-NL"/>
        </w:rPr>
        <w:t>ờng bất động sản Quý 2/2012 tiếp tục trầm lắng làm cho công tác tiêu thụ sản phẩm gặp khó khăn, doanh thu thực hiện trong quý chỉ bằng 85% cùng kỳ năm trước. Tr</w:t>
      </w:r>
      <w:r w:rsidRPr="00297EC4">
        <w:rPr>
          <w:rFonts w:ascii="Times New Roman" w:hAnsi="Times New Roman" w:hint="eastAsia"/>
          <w:color w:val="000000"/>
          <w:sz w:val="28"/>
          <w:szCs w:val="28"/>
          <w:lang w:val="nl-NL"/>
        </w:rPr>
        <w:t>ư</w:t>
      </w:r>
      <w:r w:rsidRPr="00297EC4">
        <w:rPr>
          <w:rFonts w:ascii="Times New Roman" w:hAnsi="Times New Roman"/>
          <w:color w:val="000000"/>
          <w:sz w:val="28"/>
          <w:szCs w:val="28"/>
          <w:lang w:val="nl-NL"/>
        </w:rPr>
        <w:t>ớc tình hình trên, Công ty chỉ duy trì 70% công suất máy móc thiết bị nhằm đảm bảo không tăng tồn kho thành phẩm dẫn đến chi phí do dừng sản xuất tăng (chủ yếu là chi phí khấu hao, tiền l</w:t>
      </w:r>
      <w:r w:rsidRPr="00297EC4">
        <w:rPr>
          <w:rFonts w:ascii="Times New Roman" w:hAnsi="Times New Roman" w:hint="eastAsia"/>
          <w:color w:val="000000"/>
          <w:sz w:val="28"/>
          <w:szCs w:val="28"/>
          <w:lang w:val="nl-NL"/>
        </w:rPr>
        <w:t>ươ</w:t>
      </w:r>
      <w:r w:rsidRPr="00297EC4">
        <w:rPr>
          <w:rFonts w:ascii="Times New Roman" w:hAnsi="Times New Roman"/>
          <w:color w:val="000000"/>
          <w:sz w:val="28"/>
          <w:szCs w:val="28"/>
          <w:lang w:val="nl-NL"/>
        </w:rPr>
        <w:t>ng, tiền điện hạch toán thẳng vào kết quả sản xuất kinh doanh). Đó là những nguyên nhân chính dẫn đến kết quả sản xuất kinh doanh quý 2 giảm h</w:t>
      </w:r>
      <w:r w:rsidRPr="00297EC4">
        <w:rPr>
          <w:rFonts w:ascii="Times New Roman" w:hAnsi="Times New Roman" w:hint="eastAsia"/>
          <w:color w:val="000000"/>
          <w:sz w:val="28"/>
          <w:szCs w:val="28"/>
          <w:lang w:val="nl-NL"/>
        </w:rPr>
        <w:t>ơ</w:t>
      </w:r>
      <w:r w:rsidRPr="00297EC4">
        <w:rPr>
          <w:rFonts w:ascii="Times New Roman" w:hAnsi="Times New Roman"/>
          <w:color w:val="000000"/>
          <w:sz w:val="28"/>
          <w:szCs w:val="28"/>
          <w:lang w:val="nl-NL"/>
        </w:rPr>
        <w:t>n 10% so với cùng kỳ năm tr</w:t>
      </w:r>
      <w:r w:rsidRPr="00297EC4">
        <w:rPr>
          <w:rFonts w:ascii="Times New Roman" w:hAnsi="Times New Roman" w:hint="eastAsia"/>
          <w:color w:val="000000"/>
          <w:sz w:val="28"/>
          <w:szCs w:val="28"/>
          <w:lang w:val="nl-NL"/>
        </w:rPr>
        <w:t>ư</w:t>
      </w:r>
      <w:r w:rsidRPr="00297EC4">
        <w:rPr>
          <w:rFonts w:ascii="Times New Roman" w:hAnsi="Times New Roman"/>
          <w:color w:val="000000"/>
          <w:sz w:val="28"/>
          <w:szCs w:val="28"/>
          <w:lang w:val="nl-NL"/>
        </w:rPr>
        <w:t>ớc.</w:t>
      </w:r>
    </w:p>
    <w:p w:rsidR="00824489" w:rsidRPr="00297EC4" w:rsidRDefault="00824489" w:rsidP="00011326">
      <w:pPr>
        <w:spacing w:after="0" w:line="240" w:lineRule="auto"/>
        <w:ind w:firstLine="816"/>
        <w:jc w:val="both"/>
        <w:rPr>
          <w:rFonts w:ascii="Times New Roman" w:hAnsi="Times New Roman"/>
          <w:color w:val="000000"/>
          <w:sz w:val="28"/>
          <w:szCs w:val="28"/>
          <w:lang w:val="nl-NL"/>
        </w:rPr>
      </w:pPr>
      <w:r w:rsidRPr="00297EC4">
        <w:rPr>
          <w:rFonts w:ascii="Times New Roman" w:hAnsi="Times New Roman"/>
          <w:color w:val="000000"/>
          <w:sz w:val="28"/>
          <w:szCs w:val="28"/>
          <w:lang w:val="nl-NL"/>
        </w:rPr>
        <w:t>Bằng công văn này Công ty Cổ phần Viglacera Tiên Sơn xin giải trình với Uỷ ban chứng khoán Nhà n</w:t>
      </w:r>
      <w:r w:rsidRPr="00297EC4">
        <w:rPr>
          <w:rFonts w:ascii="Times New Roman" w:hAnsi="Times New Roman" w:hint="eastAsia"/>
          <w:color w:val="000000"/>
          <w:sz w:val="28"/>
          <w:szCs w:val="28"/>
          <w:lang w:val="nl-NL"/>
        </w:rPr>
        <w:t>ư</w:t>
      </w:r>
      <w:r w:rsidRPr="00297EC4">
        <w:rPr>
          <w:rFonts w:ascii="Times New Roman" w:hAnsi="Times New Roman"/>
          <w:color w:val="000000"/>
          <w:sz w:val="28"/>
          <w:szCs w:val="28"/>
          <w:lang w:val="nl-NL"/>
        </w:rPr>
        <w:t>ớc; Sở giao dịch Chứng khoán Hà Nội và các nhà đầu tư được biết.</w:t>
      </w:r>
    </w:p>
    <w:p w:rsidR="00824489" w:rsidRPr="00297EC4" w:rsidRDefault="00824489" w:rsidP="00011326">
      <w:pPr>
        <w:spacing w:after="0" w:line="240" w:lineRule="auto"/>
        <w:ind w:firstLine="782"/>
        <w:rPr>
          <w:rFonts w:ascii="Times New Roman" w:hAnsi="Times New Roman"/>
          <w:color w:val="000000"/>
          <w:sz w:val="28"/>
          <w:szCs w:val="28"/>
          <w:lang w:val="nl-NL"/>
        </w:rPr>
      </w:pPr>
      <w:r w:rsidRPr="00297EC4">
        <w:rPr>
          <w:rFonts w:ascii="Times New Roman" w:hAnsi="Times New Roman"/>
          <w:color w:val="000000"/>
          <w:sz w:val="28"/>
          <w:szCs w:val="28"/>
          <w:lang w:val="nl-NL"/>
        </w:rPr>
        <w:t>Trân trọng cảm ơn!</w:t>
      </w:r>
    </w:p>
    <w:p w:rsidR="00824489" w:rsidRPr="004F525C" w:rsidRDefault="00824489" w:rsidP="00824489">
      <w:pPr>
        <w:spacing w:line="360" w:lineRule="auto"/>
        <w:ind w:firstLine="720"/>
        <w:rPr>
          <w:rFonts w:ascii="Times New Roman" w:hAnsi="Times New Roman"/>
          <w:lang w:val="nl-NL"/>
        </w:rPr>
      </w:pPr>
      <w:r w:rsidRPr="004F525C">
        <w:rPr>
          <w:rFonts w:ascii="Times New Roman" w:hAnsi="Times New Roman"/>
          <w:sz w:val="20"/>
          <w:lang w:val="nl-NL"/>
        </w:rPr>
        <w:t xml:space="preserve"> </w:t>
      </w:r>
    </w:p>
    <w:p w:rsidR="00824489" w:rsidRPr="00297EC4" w:rsidRDefault="00824489" w:rsidP="00297EC4">
      <w:pPr>
        <w:spacing w:after="0"/>
        <w:jc w:val="both"/>
        <w:rPr>
          <w:rFonts w:ascii="Times New Roman" w:hAnsi="Times New Roman"/>
          <w:b/>
          <w:sz w:val="24"/>
          <w:szCs w:val="24"/>
          <w:lang w:val="nl-NL"/>
        </w:rPr>
      </w:pPr>
      <w:r w:rsidRPr="00ED6434">
        <w:rPr>
          <w:rFonts w:ascii="Times New Roman" w:hAnsi="Times New Roman"/>
          <w:sz w:val="28"/>
          <w:szCs w:val="28"/>
          <w:lang w:val="nl-NL"/>
        </w:rPr>
        <w:t xml:space="preserve"> </w:t>
      </w:r>
      <w:r w:rsidRPr="00297EC4">
        <w:rPr>
          <w:rFonts w:ascii="Times New Roman" w:hAnsi="Times New Roman"/>
          <w:b/>
          <w:i/>
          <w:sz w:val="24"/>
          <w:szCs w:val="24"/>
          <w:lang w:val="nl-NL"/>
        </w:rPr>
        <w:t>Nơi nhận</w:t>
      </w:r>
      <w:r w:rsidRPr="00297EC4">
        <w:rPr>
          <w:rFonts w:ascii="Times New Roman" w:hAnsi="Times New Roman"/>
          <w:b/>
          <w:sz w:val="24"/>
          <w:szCs w:val="24"/>
          <w:lang w:val="nl-NL"/>
        </w:rPr>
        <w:t xml:space="preserve">: </w:t>
      </w:r>
    </w:p>
    <w:p w:rsidR="00824489" w:rsidRPr="00297EC4" w:rsidRDefault="00824489" w:rsidP="00297EC4">
      <w:pPr>
        <w:spacing w:after="0"/>
        <w:ind w:firstLine="360"/>
        <w:jc w:val="both"/>
        <w:rPr>
          <w:rFonts w:ascii="Times New Roman" w:hAnsi="Times New Roman"/>
          <w:sz w:val="24"/>
          <w:szCs w:val="24"/>
          <w:lang w:val="nl-NL"/>
        </w:rPr>
      </w:pPr>
      <w:r w:rsidRPr="00297EC4">
        <w:rPr>
          <w:rFonts w:ascii="Times New Roman" w:hAnsi="Times New Roman"/>
          <w:sz w:val="24"/>
          <w:szCs w:val="24"/>
          <w:lang w:val="nl-NL"/>
        </w:rPr>
        <w:t>-  Như kính gửi;</w:t>
      </w:r>
    </w:p>
    <w:p w:rsidR="00824489" w:rsidRDefault="00824489" w:rsidP="00297EC4">
      <w:pPr>
        <w:spacing w:after="0"/>
        <w:ind w:firstLine="360"/>
        <w:jc w:val="both"/>
        <w:rPr>
          <w:rFonts w:ascii="Times New Roman" w:hAnsi="Times New Roman"/>
          <w:b/>
          <w:sz w:val="20"/>
          <w:lang w:val="nl-NL"/>
        </w:rPr>
      </w:pPr>
      <w:r w:rsidRPr="00297EC4">
        <w:rPr>
          <w:rFonts w:ascii="Times New Roman" w:hAnsi="Times New Roman"/>
          <w:sz w:val="24"/>
          <w:szCs w:val="24"/>
          <w:lang w:val="nl-NL"/>
        </w:rPr>
        <w:t>-  Lưu TCHC, TCKT</w:t>
      </w:r>
      <w:r w:rsidRPr="004F525C">
        <w:rPr>
          <w:rFonts w:ascii="Times New Roman" w:hAnsi="Times New Roman"/>
          <w:b/>
          <w:sz w:val="20"/>
          <w:lang w:val="nl-NL"/>
        </w:rPr>
        <w:t>.</w:t>
      </w:r>
    </w:p>
    <w:p w:rsidR="00F04494" w:rsidRDefault="00F04494"/>
    <w:sectPr w:rsidR="00F04494" w:rsidSect="00F01182">
      <w:pgSz w:w="11909" w:h="16834" w:code="9"/>
      <w:pgMar w:top="720" w:right="1021" w:bottom="720" w:left="1701" w:header="561" w:footer="561" w:gutter="0"/>
      <w:cols w:space="720"/>
      <w:docGrid w:linePitch="360" w:charSpace="27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530" w:rsidRDefault="00FA1530">
      <w:pPr>
        <w:spacing w:after="0" w:line="240" w:lineRule="auto"/>
      </w:pPr>
      <w:r>
        <w:separator/>
      </w:r>
    </w:p>
  </w:endnote>
  <w:endnote w:type="continuationSeparator" w:id="1">
    <w:p w:rsidR="00FA1530" w:rsidRDefault="00FA1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530" w:rsidRDefault="00FA1530">
      <w:pPr>
        <w:spacing w:after="0" w:line="240" w:lineRule="auto"/>
      </w:pPr>
      <w:r>
        <w:separator/>
      </w:r>
    </w:p>
  </w:footnote>
  <w:footnote w:type="continuationSeparator" w:id="1">
    <w:p w:rsidR="00FA1530" w:rsidRDefault="00FA15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E342B"/>
    <w:multiLevelType w:val="hybridMultilevel"/>
    <w:tmpl w:val="CB8067EE"/>
    <w:lvl w:ilvl="0" w:tplc="83002810">
      <w:start w:val="1"/>
      <w:numFmt w:val="decimal"/>
      <w:lvlText w:val="%1."/>
      <w:lvlJc w:val="left"/>
      <w:pPr>
        <w:tabs>
          <w:tab w:val="num" w:pos="1080"/>
        </w:tabs>
        <w:ind w:left="1080" w:hanging="360"/>
      </w:pPr>
      <w:rPr>
        <w:rFonts w:hint="default"/>
      </w:rPr>
    </w:lvl>
    <w:lvl w:ilvl="1" w:tplc="42E6BCEE">
      <w:numFmt w:val="none"/>
      <w:lvlText w:val=""/>
      <w:lvlJc w:val="left"/>
      <w:pPr>
        <w:tabs>
          <w:tab w:val="num" w:pos="360"/>
        </w:tabs>
      </w:pPr>
    </w:lvl>
    <w:lvl w:ilvl="2" w:tplc="7FF08810">
      <w:numFmt w:val="none"/>
      <w:lvlText w:val=""/>
      <w:lvlJc w:val="left"/>
      <w:pPr>
        <w:tabs>
          <w:tab w:val="num" w:pos="360"/>
        </w:tabs>
      </w:pPr>
    </w:lvl>
    <w:lvl w:ilvl="3" w:tplc="2D0C7C98">
      <w:numFmt w:val="none"/>
      <w:lvlText w:val=""/>
      <w:lvlJc w:val="left"/>
      <w:pPr>
        <w:tabs>
          <w:tab w:val="num" w:pos="360"/>
        </w:tabs>
      </w:pPr>
    </w:lvl>
    <w:lvl w:ilvl="4" w:tplc="6960018E">
      <w:numFmt w:val="none"/>
      <w:lvlText w:val=""/>
      <w:lvlJc w:val="left"/>
      <w:pPr>
        <w:tabs>
          <w:tab w:val="num" w:pos="360"/>
        </w:tabs>
      </w:pPr>
    </w:lvl>
    <w:lvl w:ilvl="5" w:tplc="FF863E4E">
      <w:numFmt w:val="none"/>
      <w:lvlText w:val=""/>
      <w:lvlJc w:val="left"/>
      <w:pPr>
        <w:tabs>
          <w:tab w:val="num" w:pos="360"/>
        </w:tabs>
      </w:pPr>
    </w:lvl>
    <w:lvl w:ilvl="6" w:tplc="B7E2DC10">
      <w:numFmt w:val="none"/>
      <w:lvlText w:val=""/>
      <w:lvlJc w:val="left"/>
      <w:pPr>
        <w:tabs>
          <w:tab w:val="num" w:pos="360"/>
        </w:tabs>
      </w:pPr>
    </w:lvl>
    <w:lvl w:ilvl="7" w:tplc="0A1AF490">
      <w:numFmt w:val="none"/>
      <w:lvlText w:val=""/>
      <w:lvlJc w:val="left"/>
      <w:pPr>
        <w:tabs>
          <w:tab w:val="num" w:pos="360"/>
        </w:tabs>
      </w:pPr>
    </w:lvl>
    <w:lvl w:ilvl="8" w:tplc="FF5C33C2">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24489"/>
    <w:rsid w:val="00011326"/>
    <w:rsid w:val="00047F1F"/>
    <w:rsid w:val="00297EC4"/>
    <w:rsid w:val="00687230"/>
    <w:rsid w:val="00824489"/>
    <w:rsid w:val="00875B78"/>
    <w:rsid w:val="008F6178"/>
    <w:rsid w:val="00B612DF"/>
    <w:rsid w:val="00F01182"/>
    <w:rsid w:val="00F04494"/>
    <w:rsid w:val="00FA15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49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2012-08-09T04:47:00Z</dcterms:created>
  <dcterms:modified xsi:type="dcterms:W3CDTF">2012-08-09T04:59:00Z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7a14e294ec7d48a0ab154bf7add00082.psdsxs" Id="R9b4bbbd578ad4816" /></Relationships>
</file>